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240" w:before="0" w:after="0"/>
        <w:jc w:val="center"/>
        <w:rPr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</w:rPr>
        <w:t xml:space="preserve">                                                                                                                         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</w:rPr>
        <w:t>Приложение 1</w:t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outline w:val="false"/>
          <w:shadow w:val="false"/>
          <w:color w:val="000000"/>
          <w:u w:val="none"/>
          <w:em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u w:val="none"/>
          <w:em w:val="none"/>
        </w:rPr>
      </w:r>
    </w:p>
    <w:p>
      <w:pPr>
        <w:pStyle w:val="Normal"/>
        <w:bidi w:val="0"/>
        <w:spacing w:lineRule="auto" w:line="240" w:before="0" w:after="0"/>
        <w:jc w:val="center"/>
        <w:rPr/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</w:rPr>
        <w:t xml:space="preserve">                                                                                                                         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</w:rPr>
        <w:t>УТВЕРЖДЕН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1"/>
          <w:szCs w:val="28"/>
          <w:u w:val="none"/>
          <w:em w:val="non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Normal"/>
        <w:tabs>
          <w:tab w:val="clear" w:pos="720"/>
          <w:tab w:val="left" w:pos="10483" w:leader="none"/>
          <w:tab w:val="left" w:pos="10717" w:leader="none"/>
        </w:tabs>
        <w:bidi w:val="0"/>
        <w:spacing w:before="0" w:after="0"/>
        <w:jc w:val="center"/>
        <w:rPr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1"/>
          <w:szCs w:val="28"/>
          <w:u w:val="none"/>
          <w:em w:val="none"/>
        </w:rPr>
        <w:t xml:space="preserve">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</w:rPr>
        <w:t xml:space="preserve">постановлением администрации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Style11"/>
        <w:spacing w:before="0" w:after="0"/>
        <w:rPr/>
      </w:pPr>
      <w:r>
        <w:rPr/>
        <w:t xml:space="preserve">                                                                                                                                                         </w:t>
      </w:r>
      <w:r>
        <w:rPr/>
        <w:t xml:space="preserve">муниципального образования              </w:t>
      </w:r>
    </w:p>
    <w:p>
      <w:pPr>
        <w:pStyle w:val="Style11"/>
        <w:spacing w:before="0" w:after="0"/>
        <w:rPr/>
      </w:pPr>
      <w:r>
        <w:rPr/>
        <w:t xml:space="preserve">                                                                                                                                                         </w:t>
      </w:r>
      <w:r>
        <w:rPr/>
        <w:t xml:space="preserve">Белореченский муниципальный    </w:t>
      </w:r>
    </w:p>
    <w:p>
      <w:pPr>
        <w:pStyle w:val="Style11"/>
        <w:spacing w:before="0" w:after="26"/>
        <w:rPr/>
      </w:pPr>
      <w:r>
        <w:rPr/>
        <w:t xml:space="preserve">                                                                                                                                                         </w:t>
      </w:r>
      <w:r>
        <w:rPr/>
        <w:t xml:space="preserve">район  Краснодарского края       </w:t>
      </w:r>
    </w:p>
    <w:p>
      <w:pPr>
        <w:pStyle w:val="Style11"/>
        <w:spacing w:lineRule="auto" w:line="240" w:before="0" w:after="0"/>
        <w:rPr/>
      </w:pPr>
      <w:r>
        <w:rPr/>
        <w:t xml:space="preserve">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от </w:t>
      </w:r>
      <w:r>
        <w:rPr>
          <w:rFonts w:ascii="Times New Roman" w:hAnsi="Times New Roman"/>
        </w:rPr>
        <w:t>14.10.2026г.</w:t>
      </w:r>
      <w:r>
        <w:rPr>
          <w:rFonts w:ascii="Times New Roman" w:hAnsi="Times New Roman"/>
        </w:rPr>
        <w:t xml:space="preserve"> № </w:t>
      </w:r>
      <w:r>
        <w:rPr>
          <w:rFonts w:ascii="Times New Roman" w:hAnsi="Times New Roman"/>
        </w:rPr>
        <w:t>1240</w:t>
      </w:r>
    </w:p>
    <w:p>
      <w:pPr>
        <w:pStyle w:val="Style11"/>
        <w:spacing w:before="0" w:after="0"/>
        <w:rPr/>
      </w:pPr>
      <w:r>
        <w:rPr/>
      </w:r>
    </w:p>
    <w:p>
      <w:pPr>
        <w:pStyle w:val="Style11"/>
        <w:spacing w:before="0" w:after="0"/>
        <w:rPr/>
      </w:pPr>
      <w:r>
        <w:rPr/>
      </w:r>
    </w:p>
    <w:tbl>
      <w:tblPr>
        <w:tblW w:w="14450" w:type="dxa"/>
        <w:jc w:val="left"/>
        <w:tblInd w:w="174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</w:tblPr>
      <w:tblGrid>
        <w:gridCol w:w="2950"/>
        <w:gridCol w:w="4766"/>
        <w:gridCol w:w="2201"/>
        <w:gridCol w:w="2216"/>
        <w:gridCol w:w="2317"/>
      </w:tblGrid>
      <w:tr>
        <w:trPr/>
        <w:tc>
          <w:tcPr>
            <w:tcW w:w="14450" w:type="dxa"/>
            <w:gridSpan w:val="5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-57"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Отчет об исполнении бюджета муниципального образования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Белореченский муниципальный район Краснодарского края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 доходам за 9 месяцев 2026 года</w:t>
            </w:r>
          </w:p>
        </w:tc>
      </w:tr>
      <w:tr>
        <w:trPr/>
        <w:tc>
          <w:tcPr>
            <w:tcW w:w="14450" w:type="dxa"/>
            <w:gridSpan w:val="5"/>
            <w:tcBorders/>
            <w:vAlign w:val="bottom"/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(рублей)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дохода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Утверждено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Исполнено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Отклонение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1 00 00000 00 0000 000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1 533 449 500,00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1 121 403 158,22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-412 046 341,78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1 01 01000 00 0000 110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Налог на прибыль организаций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27 940 000,00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10 033 686,12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-17 906 313,88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1 01 02000 01 0000 110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894 198 000,00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632 533 697,50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-261 664 302,50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1 03 02000 01 0000 110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9 013 600,00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6 064 837,28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-2 948 762,72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1 05 01000 00 0000 110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342 660 000,00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261 690 249,40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-80 969 750,60</w:t>
            </w:r>
          </w:p>
        </w:tc>
      </w:tr>
      <w:tr>
        <w:trPr>
          <w:trHeight w:val="1030" w:hRule="atLeast"/>
        </w:trPr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1 05 02000 02 0000 110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Единый налог, на вмененный доход для отдельных видов деятельности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63 000,00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27 714,22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-35 285,78</w:t>
            </w:r>
          </w:p>
        </w:tc>
      </w:tr>
      <w:tr>
        <w:trPr>
          <w:trHeight w:val="421" w:hRule="atLeast"/>
        </w:trPr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1 05 03010 01 0000 110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17 579 000,00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31 114 877,32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13 535 877,32</w:t>
            </w:r>
          </w:p>
        </w:tc>
      </w:tr>
      <w:tr>
        <w:trPr>
          <w:trHeight w:val="795" w:hRule="atLeast"/>
        </w:trPr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1 05 04020 02 0000 110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Налог, взимаемый в связи с применением патентной системы налогообложения, зачисляемый в бюджеты муниципальных районов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51 933 000,00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17 229 323,96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-34 703 676,04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1 06 02000 02 0000 110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Налог на имущество организаций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9 513 000,00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7 414 563,12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-2 098 436,88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1 08 00000 00 0000 110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52 539 000,00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43 387 065,80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-9 151 934,20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1 11 01050 05 0000 120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районам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130 000,00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73 710,00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-56 290,00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1 11 03050 05 0000 120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Проценты, полученные от предоставления бюджетных кредитов внутри страны за счет средств бюджетов муниципальных районов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7 700,00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2 294,78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-5 405,22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1 11 05010 00 0000 120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91 879 000,00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68 097 182,67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-23 781 817,33</w:t>
            </w:r>
          </w:p>
        </w:tc>
      </w:tr>
      <w:tr>
        <w:trPr>
          <w:trHeight w:val="2137" w:hRule="atLeast"/>
        </w:trPr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1 11 05025 05 0000 120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316 000,00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272 255,41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-43 744,59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1 11 05035 05 0000 120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(за исключением имущества муниципальных автономных учреждений)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1 370 000,00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1 021 147,15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-348 852,85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1 11 09000 00 0000 120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2 377 000,00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2 477 450,15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100 450,15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1 13 00000 00 0000 000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2 676 900,00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2 401 248,68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-275 651,32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1 14 02052 05 0000 410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33 606,00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33 606,00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1 14 06000 00 0000 430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25 668 000,00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28 906 863,56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3 238 863,56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1 16 00000 00 0000 000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3 586 300,00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8 614 196,36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5 027 896,36</w:t>
            </w:r>
          </w:p>
        </w:tc>
      </w:tr>
      <w:tr>
        <w:trPr/>
        <w:tc>
          <w:tcPr>
            <w:tcW w:w="29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1 17 00000 00 0000 000</w:t>
            </w:r>
          </w:p>
        </w:tc>
        <w:tc>
          <w:tcPr>
            <w:tcW w:w="476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220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22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7 188,74</w:t>
            </w:r>
          </w:p>
        </w:tc>
        <w:tc>
          <w:tcPr>
            <w:tcW w:w="23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7 188,74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3 584 218 523,83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2 668 467 695,10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-915 750 828,73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3 584 324 921,72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2 666 542 321,22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-917 782 600,50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2 02 15001 05 0000 150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242 020 300,00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181 515 600,00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-60 504 700,00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2 02 19999 05 0000 150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Прочие дотации бюджетам сельских поселений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7 857 100,00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7 857 100,00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2 02 20077 05 0000 150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Субсидии бюджетам муниципальных районов на софинансирование капитальных вложений в объекты муниципальной собственности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269 213 800,00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22 552 303,00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-246 661 497,00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2 02 25228 05 0000 150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Субсидии бюджетам муниципальных районов на оснащение объектов спортивной инфраструктуры спортивно-технологическим оборудованием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2 942 200,00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2 942 200,00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2 02 25304 05 0000 150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130 482 400,00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92 503 899,98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-37 978 500,02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2 02 25497 05 0000 150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Субсидии бюджетам муниципальных районов на реализацию мероприятий по обеспечению жильем молодых семей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4 993 100,00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4 993 002,00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-98,00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2 02 25519 05 0000 150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Субсидии бюджетам муниципальных районов на поддержку отрасли культуры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438 900,00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438 900,00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2 02 29999 05 0000 150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Прочие субсидии бюджетам муниципальных районов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304 354 600,00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61 764 030,70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-242 590 569,30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2 02 30024 05 0000 150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2 264 355 600,00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2 016 463 693,93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-247 891 906,07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2 02 30029 05 0000 150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13 085 900,00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7 700 176,03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-5 385 723,97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2 02 35082 05 0000 150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Субвенции бюджетам муниципальных районов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40 409 900,00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36 726 800,00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-3 683 100,00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2 02 35120 05 0000 150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85 000,00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84 904,80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-95,20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2 02 35179 05 0000 150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Субвенции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7 811 300,00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7 626 400,00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-184 900,00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2 02 35303 05 0000 150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100 043 600,00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79 601 400,00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-20 442 200,00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2 02 36900 05 0000 150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Единая субвенция бюджетам муниципальных районов из бюджета субъекта Российской Федерации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121 814 900,00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81 774 415,86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-40 040 484,14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2 02 40014 05 0000 150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13 807 921,72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11 445 641,72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-2 362 280,00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2 02 45050 05 0000 150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трансферты,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2 577 900,00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1 979 400,00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-598 500,00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2 02 49999 05 0000 150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58 030 500,00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48 572 453,20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-9 458 046,80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2 07 05030 05 0000 150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Прочие безвозмездные поступления в бюджеты муниципальных районов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2 18 00000 05 0000 150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Доходы бюджетов муниципальных районов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23 314 876,83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25 346 648,60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2 031 771,77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2 18 05010 05 0000 150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Доходы бюджетов муниципальных районов от возврата бюджетными учреждениями остатков субсидий прошлых лет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20 694 462,50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20 708 270,13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13 807,63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2 18 05020 05 0000 150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Доходы бюджетов муниципальных районов от возврата автономными учреждениями остатков субсидий прошлых лет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2 620 414,33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3 595 034,33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974 620,00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2 18 60010 05 0000 150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1 043 344,14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1 043 344,14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2 19 00000 05 0000 150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-23 921 274,72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-23 921 274,72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2 19 25304 05 0000 150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Возврат остатков субсидий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организациях, из бюджетов муниципальных районов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-8 917 782,54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-8 917 782,54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2 19 35179 05 0000 150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Возврат остатков субвенций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бюджетов муниципальных районов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-254 500,89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-254 500,89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>
        <w:trPr/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2 19 35303 05 0000 150</w:t>
            </w:r>
          </w:p>
        </w:tc>
        <w:tc>
          <w:tcPr>
            <w:tcW w:w="4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Возврат остатков субвенций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из бюджетов муниципальных районов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-279 857,98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-279 857,98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>
        <w:trPr/>
        <w:tc>
          <w:tcPr>
            <w:tcW w:w="29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2 19 45050 05 0000 150</w:t>
            </w:r>
          </w:p>
        </w:tc>
        <w:tc>
          <w:tcPr>
            <w:tcW w:w="476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трансферты,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220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-192 913,69</w:t>
            </w:r>
          </w:p>
        </w:tc>
        <w:tc>
          <w:tcPr>
            <w:tcW w:w="22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-192 913,69</w:t>
            </w:r>
          </w:p>
        </w:tc>
        <w:tc>
          <w:tcPr>
            <w:tcW w:w="23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>
        <w:trPr/>
        <w:tc>
          <w:tcPr>
            <w:tcW w:w="29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2 19 60010 05 0000 150</w:t>
            </w:r>
          </w:p>
        </w:tc>
        <w:tc>
          <w:tcPr>
            <w:tcW w:w="476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20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-14 276 219,62</w:t>
            </w:r>
          </w:p>
        </w:tc>
        <w:tc>
          <w:tcPr>
            <w:tcW w:w="22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-14 276 219,62</w:t>
            </w:r>
          </w:p>
        </w:tc>
        <w:tc>
          <w:tcPr>
            <w:tcW w:w="23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>
        <w:trPr/>
        <w:tc>
          <w:tcPr>
            <w:tcW w:w="29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476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Всего доходов</w:t>
            </w:r>
          </w:p>
        </w:tc>
        <w:tc>
          <w:tcPr>
            <w:tcW w:w="220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5 117 668 023,83</w:t>
            </w:r>
          </w:p>
        </w:tc>
        <w:tc>
          <w:tcPr>
            <w:tcW w:w="22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3 789 870 853,32</w:t>
            </w:r>
          </w:p>
        </w:tc>
        <w:tc>
          <w:tcPr>
            <w:tcW w:w="23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Style18"/>
              <w:widowControl w:val="false"/>
              <w:jc w:val="right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-1 327 797 170,51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W w:w="9410" w:type="dxa"/>
        <w:jc w:val="left"/>
        <w:tblInd w:w="-30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4700"/>
        <w:gridCol w:w="4709"/>
      </w:tblGrid>
      <w:tr>
        <w:trPr>
          <w:trHeight w:val="315" w:hRule="atLeast"/>
        </w:trPr>
        <w:tc>
          <w:tcPr>
            <w:tcW w:w="4700" w:type="dxa"/>
            <w:tcBorders/>
            <w:vAlign w:val="bottom"/>
          </w:tcPr>
          <w:p>
            <w:pPr>
              <w:pStyle w:val="Normal"/>
              <w:widowControl w:val="false"/>
              <w:tabs>
                <w:tab w:val="clear" w:pos="720"/>
              </w:tabs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финансового управления</w:t>
            </w:r>
          </w:p>
        </w:tc>
        <w:tc>
          <w:tcPr>
            <w:tcW w:w="4709" w:type="dxa"/>
            <w:tcBorders/>
            <w:vAlign w:val="bottom"/>
          </w:tcPr>
          <w:p>
            <w:pPr>
              <w:pStyle w:val="Normal"/>
              <w:widowControl w:val="false"/>
              <w:tabs>
                <w:tab w:val="clear" w:pos="720"/>
              </w:tabs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60" w:hRule="atLeast"/>
        </w:trPr>
        <w:tc>
          <w:tcPr>
            <w:tcW w:w="9409" w:type="dxa"/>
            <w:gridSpan w:val="2"/>
            <w:tcBorders/>
            <w:vAlign w:val="bottom"/>
          </w:tcPr>
          <w:p>
            <w:pPr>
              <w:pStyle w:val="Normal"/>
              <w:widowControl w:val="false"/>
              <w:tabs>
                <w:tab w:val="clear" w:pos="720"/>
              </w:tabs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администрации муниципального образования</w:t>
            </w:r>
          </w:p>
        </w:tc>
      </w:tr>
      <w:tr>
        <w:trPr>
          <w:trHeight w:val="360" w:hRule="atLeast"/>
        </w:trPr>
        <w:tc>
          <w:tcPr>
            <w:tcW w:w="9409" w:type="dxa"/>
            <w:gridSpan w:val="2"/>
            <w:tcBorders/>
            <w:vAlign w:val="bottom"/>
          </w:tcPr>
          <w:p>
            <w:pPr>
              <w:pStyle w:val="Normal"/>
              <w:widowControl w:val="false"/>
              <w:tabs>
                <w:tab w:val="clear" w:pos="720"/>
              </w:tabs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Белореченский муниципальный район</w:t>
            </w:r>
          </w:p>
        </w:tc>
      </w:tr>
    </w:tbl>
    <w:p>
      <w:pPr>
        <w:pStyle w:val="Normal"/>
        <w:widowControl/>
        <w:suppressAutoHyphens w:val="true"/>
        <w:bidi w:val="0"/>
        <w:spacing w:lineRule="auto" w:line="240" w:before="0" w:after="0"/>
        <w:ind w:left="0" w:right="-170" w:hanging="0"/>
        <w:jc w:val="both"/>
        <w:rPr/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8"/>
          <w:u w:val="none"/>
          <w:em w:val="none"/>
        </w:rPr>
        <w:t>Краснодарского края                                                                                                                                                      Е.А. Греков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113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outline w:val="false"/>
          <w:shadow w:val="false"/>
          <w:sz w:val="28"/>
          <w:u w:val="none"/>
          <w:em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8"/>
          <w:u w:val="none"/>
          <w:em w:val="none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type w:val="nextPage"/>
      <w:pgSz w:orient="landscape" w:w="16838" w:h="11906"/>
      <w:pgMar w:left="1134" w:right="1134" w:gutter="0" w:header="0" w:top="1701" w:footer="0" w:bottom="56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XO Thame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XO Thames" w:hAnsi="XO Thames" w:eastAsia="NSimSun" w:cs="Mangal"/>
        <w:color w:val="000000"/>
        <w:sz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4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link w:val="Style_1_ch"/>
    <w:uiPriority w:val="0"/>
    <w:qFormat/>
    <w:pPr>
      <w:widowControl/>
      <w:suppressAutoHyphens w:val="true"/>
      <w:bidi w:val="0"/>
      <w:spacing w:lineRule="auto" w:line="240" w:before="0" w:after="0"/>
      <w:ind w:left="0" w:right="0" w:hanging="0"/>
      <w:jc w:val="both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1">
    <w:name w:val="Heading 1"/>
    <w:next w:val="Normal"/>
    <w:link w:val="Style_9_ch"/>
    <w:uiPriority w:val="9"/>
    <w:qFormat/>
    <w:pPr>
      <w:widowControl/>
      <w:suppressAutoHyphens w:val="true"/>
      <w:bidi w:val="0"/>
      <w:spacing w:lineRule="auto" w:line="240" w:before="120" w:after="120"/>
      <w:ind w:left="0" w:right="0" w:hanging="0"/>
      <w:jc w:val="both"/>
      <w:outlineLvl w:val="0"/>
    </w:pPr>
    <w:rPr>
      <w:rFonts w:ascii="XO Thames" w:hAnsi="XO Thames" w:eastAsia="NSimSun" w:cs="Mangal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2">
    <w:name w:val="Heading 2"/>
    <w:next w:val="Normal"/>
    <w:link w:val="Style_20_ch"/>
    <w:uiPriority w:val="9"/>
    <w:qFormat/>
    <w:pPr>
      <w:widowControl/>
      <w:suppressAutoHyphens w:val="true"/>
      <w:bidi w:val="0"/>
      <w:spacing w:lineRule="auto" w:line="240" w:before="120" w:after="120"/>
      <w:ind w:left="0" w:right="0" w:hanging="0"/>
      <w:jc w:val="both"/>
      <w:outlineLvl w:val="1"/>
    </w:pPr>
    <w:rPr>
      <w:rFonts w:ascii="XO Thames" w:hAnsi="XO Thames" w:eastAsia="NSimSun" w:cs="Mangal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3">
    <w:name w:val="Heading 3"/>
    <w:next w:val="Normal"/>
    <w:link w:val="Style_6_ch"/>
    <w:uiPriority w:val="9"/>
    <w:qFormat/>
    <w:pPr>
      <w:widowControl/>
      <w:suppressAutoHyphens w:val="true"/>
      <w:bidi w:val="0"/>
      <w:spacing w:lineRule="auto" w:line="240" w:before="120" w:after="120"/>
      <w:ind w:left="0" w:right="0" w:hanging="0"/>
      <w:jc w:val="both"/>
      <w:outlineLvl w:val="2"/>
    </w:pPr>
    <w:rPr>
      <w:rFonts w:ascii="XO Thames" w:hAnsi="XO Thames" w:eastAsia="NSimSun" w:cs="Mangal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4">
    <w:name w:val="Heading 4"/>
    <w:next w:val="Normal"/>
    <w:link w:val="Style_19_ch"/>
    <w:uiPriority w:val="9"/>
    <w:qFormat/>
    <w:pPr>
      <w:widowControl/>
      <w:suppressAutoHyphens w:val="true"/>
      <w:bidi w:val="0"/>
      <w:spacing w:lineRule="auto" w:line="240" w:before="120" w:after="120"/>
      <w:ind w:left="0" w:right="0" w:hanging="0"/>
      <w:jc w:val="both"/>
      <w:outlineLvl w:val="3"/>
    </w:pPr>
    <w:rPr>
      <w:rFonts w:ascii="XO Thames" w:hAnsi="XO Thames" w:eastAsia="NSimSun" w:cs="Mangal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5">
    <w:name w:val="Heading 5"/>
    <w:next w:val="Normal"/>
    <w:link w:val="Style_8_ch"/>
    <w:uiPriority w:val="9"/>
    <w:qFormat/>
    <w:pPr>
      <w:widowControl/>
      <w:suppressAutoHyphens w:val="true"/>
      <w:bidi w:val="0"/>
      <w:spacing w:lineRule="auto" w:line="240" w:before="120" w:after="120"/>
      <w:ind w:left="0" w:right="0" w:hanging="0"/>
      <w:jc w:val="both"/>
      <w:outlineLvl w:val="4"/>
    </w:pPr>
    <w:rPr>
      <w:rFonts w:ascii="XO Thames" w:hAnsi="XO Thames" w:eastAsia="NSimSun" w:cs="Mangal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Contents2">
    <w:name w:val="Contents 2"/>
    <w:link w:val="Style_2"/>
    <w:qFormat/>
    <w:rPr>
      <w:rFonts w:ascii="XO Thames" w:hAnsi="XO Thames"/>
      <w:sz w:val="28"/>
    </w:rPr>
  </w:style>
  <w:style w:type="character" w:styleId="Contents4">
    <w:name w:val="Contents 4"/>
    <w:link w:val="Style_3"/>
    <w:qFormat/>
    <w:rPr>
      <w:rFonts w:ascii="XO Thames" w:hAnsi="XO Thames"/>
      <w:sz w:val="28"/>
    </w:rPr>
  </w:style>
  <w:style w:type="character" w:styleId="Contents6">
    <w:name w:val="Contents 6"/>
    <w:link w:val="Style_4"/>
    <w:qFormat/>
    <w:rPr>
      <w:rFonts w:ascii="XO Thames" w:hAnsi="XO Thames"/>
      <w:sz w:val="28"/>
    </w:rPr>
  </w:style>
  <w:style w:type="character" w:styleId="Contents7">
    <w:name w:val="Contents 7"/>
    <w:link w:val="Style_5"/>
    <w:qFormat/>
    <w:rPr>
      <w:rFonts w:ascii="XO Thames" w:hAnsi="XO Thames"/>
      <w:sz w:val="28"/>
    </w:rPr>
  </w:style>
  <w:style w:type="character" w:styleId="Heading3">
    <w:name w:val="Heading 3"/>
    <w:link w:val="Style_6"/>
    <w:qFormat/>
    <w:rPr>
      <w:rFonts w:ascii="XO Thames" w:hAnsi="XO Thames"/>
      <w:b/>
      <w:sz w:val="26"/>
    </w:rPr>
  </w:style>
  <w:style w:type="character" w:styleId="Contents3">
    <w:name w:val="Contents 3"/>
    <w:link w:val="Style_7"/>
    <w:qFormat/>
    <w:rPr>
      <w:rFonts w:ascii="XO Thames" w:hAnsi="XO Thames"/>
      <w:sz w:val="28"/>
    </w:rPr>
  </w:style>
  <w:style w:type="character" w:styleId="Heading5">
    <w:name w:val="Heading 5"/>
    <w:link w:val="Style_8"/>
    <w:qFormat/>
    <w:rPr>
      <w:rFonts w:ascii="XO Thames" w:hAnsi="XO Thames"/>
      <w:b/>
      <w:sz w:val="22"/>
    </w:rPr>
  </w:style>
  <w:style w:type="character" w:styleId="Heading1">
    <w:name w:val="Heading 1"/>
    <w:link w:val="Style_9"/>
    <w:qFormat/>
    <w:rPr>
      <w:rFonts w:ascii="XO Thames" w:hAnsi="XO Thames"/>
      <w:b/>
      <w:sz w:val="32"/>
    </w:rPr>
  </w:style>
  <w:style w:type="character" w:styleId="Style9">
    <w:name w:val="Интернет-ссылка"/>
    <w:link w:val="Style_10"/>
    <w:rPr>
      <w:color w:val="0000FF"/>
      <w:u w:val="single"/>
    </w:rPr>
  </w:style>
  <w:style w:type="character" w:styleId="Footnote">
    <w:name w:val="Footnote"/>
    <w:link w:val="Style_11"/>
    <w:qFormat/>
    <w:rPr>
      <w:rFonts w:ascii="XO Thames" w:hAnsi="XO Thames"/>
      <w:sz w:val="22"/>
    </w:rPr>
  </w:style>
  <w:style w:type="character" w:styleId="Contents1">
    <w:name w:val="Contents 1"/>
    <w:link w:val="Style_12"/>
    <w:qFormat/>
    <w:rPr>
      <w:rFonts w:ascii="XO Thames" w:hAnsi="XO Thames"/>
      <w:b/>
      <w:sz w:val="28"/>
    </w:rPr>
  </w:style>
  <w:style w:type="character" w:styleId="HeaderandFooter">
    <w:name w:val="Header and Footer"/>
    <w:link w:val="Style_13"/>
    <w:qFormat/>
    <w:rPr>
      <w:rFonts w:ascii="XO Thames" w:hAnsi="XO Thames"/>
      <w:sz w:val="20"/>
    </w:rPr>
  </w:style>
  <w:style w:type="character" w:styleId="Contents9">
    <w:name w:val="Contents 9"/>
    <w:link w:val="Style_14"/>
    <w:qFormat/>
    <w:rPr>
      <w:rFonts w:ascii="XO Thames" w:hAnsi="XO Thames"/>
      <w:sz w:val="28"/>
    </w:rPr>
  </w:style>
  <w:style w:type="character" w:styleId="Contents8">
    <w:name w:val="Contents 8"/>
    <w:link w:val="Style_15"/>
    <w:qFormat/>
    <w:rPr>
      <w:rFonts w:ascii="XO Thames" w:hAnsi="XO Thames"/>
      <w:sz w:val="28"/>
    </w:rPr>
  </w:style>
  <w:style w:type="character" w:styleId="Contents5">
    <w:name w:val="Contents 5"/>
    <w:link w:val="Style_16"/>
    <w:qFormat/>
    <w:rPr>
      <w:rFonts w:ascii="XO Thames" w:hAnsi="XO Thames"/>
      <w:sz w:val="28"/>
    </w:rPr>
  </w:style>
  <w:style w:type="character" w:styleId="Subtitle">
    <w:name w:val="Subtitle"/>
    <w:link w:val="Style_17"/>
    <w:qFormat/>
    <w:rPr>
      <w:rFonts w:ascii="XO Thames" w:hAnsi="XO Thames"/>
      <w:i/>
      <w:sz w:val="24"/>
    </w:rPr>
  </w:style>
  <w:style w:type="character" w:styleId="Title">
    <w:name w:val="Title"/>
    <w:link w:val="Style_18"/>
    <w:qFormat/>
    <w:rPr>
      <w:rFonts w:ascii="XO Thames" w:hAnsi="XO Thames"/>
      <w:b/>
      <w:caps/>
      <w:sz w:val="40"/>
    </w:rPr>
  </w:style>
  <w:style w:type="character" w:styleId="Heading4">
    <w:name w:val="Heading 4"/>
    <w:link w:val="Style_19"/>
    <w:qFormat/>
    <w:rPr>
      <w:rFonts w:ascii="XO Thames" w:hAnsi="XO Thames"/>
      <w:b/>
      <w:sz w:val="24"/>
    </w:rPr>
  </w:style>
  <w:style w:type="character" w:styleId="Heading2">
    <w:name w:val="Heading 2"/>
    <w:link w:val="Style_20"/>
    <w:qFormat/>
    <w:rPr>
      <w:rFonts w:ascii="XO Thames" w:hAnsi="XO Thames"/>
      <w:b/>
      <w:sz w:val="28"/>
    </w:rPr>
  </w:style>
  <w:style w:type="paragraph" w:styleId="Style10">
    <w:name w:val="Заголовок"/>
    <w:basedOn w:val="Normal"/>
    <w:next w:val="Style11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1">
    <w:name w:val="Body Text"/>
    <w:basedOn w:val="Normal"/>
    <w:pPr>
      <w:spacing w:lineRule="auto" w:line="276" w:before="0" w:after="140"/>
    </w:pPr>
    <w:rPr/>
  </w:style>
  <w:style w:type="paragraph" w:styleId="Style12">
    <w:name w:val="List"/>
    <w:basedOn w:val="Style11"/>
    <w:pPr/>
    <w:rPr>
      <w:rFonts w:cs="Mangal"/>
    </w:rPr>
  </w:style>
  <w:style w:type="paragraph" w:styleId="Style13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Mangal"/>
      <w:lang w:val="zxx" w:eastAsia="zxx" w:bidi="zxx"/>
    </w:rPr>
  </w:style>
  <w:style w:type="paragraph" w:styleId="21">
    <w:name w:val="TOC 2"/>
    <w:next w:val="Normal"/>
    <w:link w:val="Style_2_ch"/>
    <w:uiPriority w:val="39"/>
    <w:pPr>
      <w:widowControl/>
      <w:suppressAutoHyphens w:val="true"/>
      <w:bidi w:val="0"/>
      <w:spacing w:lineRule="auto" w:line="240" w:before="0" w:after="0"/>
      <w:ind w:left="200" w:right="0" w:hanging="0"/>
      <w:jc w:val="left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41">
    <w:name w:val="TOC 4"/>
    <w:next w:val="Normal"/>
    <w:link w:val="Style_3_ch"/>
    <w:uiPriority w:val="39"/>
    <w:pPr>
      <w:widowControl/>
      <w:suppressAutoHyphens w:val="true"/>
      <w:bidi w:val="0"/>
      <w:spacing w:lineRule="auto" w:line="240" w:before="0" w:after="0"/>
      <w:ind w:left="600" w:right="0" w:hanging="0"/>
      <w:jc w:val="left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6">
    <w:name w:val="TOC 6"/>
    <w:next w:val="Normal"/>
    <w:link w:val="Style_4_ch"/>
    <w:uiPriority w:val="39"/>
    <w:pPr>
      <w:widowControl/>
      <w:suppressAutoHyphens w:val="true"/>
      <w:bidi w:val="0"/>
      <w:spacing w:lineRule="auto" w:line="240" w:before="0" w:after="0"/>
      <w:ind w:left="1000" w:right="0" w:hanging="0"/>
      <w:jc w:val="left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7">
    <w:name w:val="TOC 7"/>
    <w:next w:val="Normal"/>
    <w:link w:val="Style_5_ch"/>
    <w:uiPriority w:val="39"/>
    <w:pPr>
      <w:widowControl/>
      <w:suppressAutoHyphens w:val="true"/>
      <w:bidi w:val="0"/>
      <w:spacing w:lineRule="auto" w:line="240" w:before="0" w:after="0"/>
      <w:ind w:left="1200" w:right="0" w:hanging="0"/>
      <w:jc w:val="left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31">
    <w:name w:val="TOC 3"/>
    <w:next w:val="Normal"/>
    <w:link w:val="Style_7_ch"/>
    <w:uiPriority w:val="39"/>
    <w:pPr>
      <w:widowControl/>
      <w:suppressAutoHyphens w:val="true"/>
      <w:bidi w:val="0"/>
      <w:spacing w:lineRule="auto" w:line="240" w:before="0" w:after="0"/>
      <w:ind w:left="400" w:right="0" w:hanging="0"/>
      <w:jc w:val="left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Internetlink">
    <w:name w:val="Hyperlink"/>
    <w:link w:val="Style_10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NSimSun" w:cs="Mangal"/>
      <w:color w:val="0000FF"/>
      <w:spacing w:val="0"/>
      <w:kern w:val="0"/>
      <w:sz w:val="24"/>
      <w:szCs w:val="20"/>
      <w:u w:val="single"/>
      <w:lang w:val="ru-RU" w:eastAsia="zh-CN" w:bidi="hi-IN"/>
    </w:rPr>
  </w:style>
  <w:style w:type="paragraph" w:styleId="Footnote1">
    <w:name w:val="Footnote"/>
    <w:link w:val="Style_11_ch"/>
    <w:qFormat/>
    <w:pPr>
      <w:widowControl/>
      <w:suppressAutoHyphens w:val="true"/>
      <w:bidi w:val="0"/>
      <w:spacing w:lineRule="auto" w:line="240" w:before="0" w:after="0"/>
      <w:ind w:left="0" w:right="0" w:firstLine="851"/>
      <w:jc w:val="both"/>
    </w:pPr>
    <w:rPr>
      <w:rFonts w:ascii="XO Thames" w:hAnsi="XO Thames" w:eastAsia="NSimSun" w:cs="Mangal"/>
      <w:color w:val="000000"/>
      <w:spacing w:val="0"/>
      <w:kern w:val="0"/>
      <w:sz w:val="22"/>
      <w:szCs w:val="20"/>
      <w:lang w:val="ru-RU" w:eastAsia="zh-CN" w:bidi="hi-IN"/>
    </w:rPr>
  </w:style>
  <w:style w:type="paragraph" w:styleId="11">
    <w:name w:val="TOC 1"/>
    <w:next w:val="Normal"/>
    <w:link w:val="Style_12_ch"/>
    <w:uiPriority w:val="39"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NSimSun" w:cs="Mangal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Style15">
    <w:name w:val="Колонтитул"/>
    <w:link w:val="Style_13_ch"/>
    <w:qFormat/>
    <w:pPr>
      <w:widowControl/>
      <w:suppressAutoHyphens w:val="true"/>
      <w:bidi w:val="0"/>
      <w:spacing w:lineRule="auto" w:line="240" w:before="0" w:after="0"/>
      <w:ind w:left="0" w:right="0" w:hanging="0"/>
      <w:jc w:val="both"/>
    </w:pPr>
    <w:rPr>
      <w:rFonts w:ascii="XO Thames" w:hAnsi="XO Thames" w:eastAsia="NSimSun" w:cs="Mangal"/>
      <w:color w:val="000000"/>
      <w:spacing w:val="0"/>
      <w:kern w:val="0"/>
      <w:sz w:val="20"/>
      <w:szCs w:val="20"/>
      <w:lang w:val="ru-RU" w:eastAsia="zh-CN" w:bidi="hi-IN"/>
    </w:rPr>
  </w:style>
  <w:style w:type="paragraph" w:styleId="9">
    <w:name w:val="TOC 9"/>
    <w:next w:val="Normal"/>
    <w:link w:val="Style_14_ch"/>
    <w:uiPriority w:val="39"/>
    <w:pPr>
      <w:widowControl/>
      <w:suppressAutoHyphens w:val="true"/>
      <w:bidi w:val="0"/>
      <w:spacing w:lineRule="auto" w:line="240" w:before="0" w:after="0"/>
      <w:ind w:left="1600" w:right="0" w:hanging="0"/>
      <w:jc w:val="left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8">
    <w:name w:val="TOC 8"/>
    <w:next w:val="Normal"/>
    <w:link w:val="Style_15_ch"/>
    <w:uiPriority w:val="39"/>
    <w:pPr>
      <w:widowControl/>
      <w:suppressAutoHyphens w:val="true"/>
      <w:bidi w:val="0"/>
      <w:spacing w:lineRule="auto" w:line="240" w:before="0" w:after="0"/>
      <w:ind w:left="1400" w:right="0" w:hanging="0"/>
      <w:jc w:val="left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51">
    <w:name w:val="TOC 5"/>
    <w:next w:val="Normal"/>
    <w:link w:val="Style_16_ch"/>
    <w:uiPriority w:val="39"/>
    <w:pPr>
      <w:widowControl/>
      <w:suppressAutoHyphens w:val="true"/>
      <w:bidi w:val="0"/>
      <w:spacing w:lineRule="auto" w:line="240" w:before="0" w:after="0"/>
      <w:ind w:left="800" w:right="0" w:hanging="0"/>
      <w:jc w:val="left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Style16">
    <w:name w:val="Subtitle"/>
    <w:next w:val="Normal"/>
    <w:link w:val="Style_17_ch"/>
    <w:uiPriority w:val="11"/>
    <w:qFormat/>
    <w:pPr>
      <w:widowControl/>
      <w:suppressAutoHyphens w:val="true"/>
      <w:bidi w:val="0"/>
      <w:spacing w:lineRule="auto" w:line="240" w:before="0" w:after="0"/>
      <w:ind w:left="0" w:right="0" w:hanging="0"/>
      <w:jc w:val="both"/>
    </w:pPr>
    <w:rPr>
      <w:rFonts w:ascii="XO Thames" w:hAnsi="XO Thames" w:eastAsia="NSimSun" w:cs="Mangal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Style17">
    <w:name w:val="Title"/>
    <w:next w:val="Normal"/>
    <w:link w:val="Style_18_ch"/>
    <w:uiPriority w:val="10"/>
    <w:qFormat/>
    <w:pPr>
      <w:widowControl/>
      <w:suppressAutoHyphens w:val="true"/>
      <w:bidi w:val="0"/>
      <w:spacing w:lineRule="auto" w:line="240" w:before="567" w:after="567"/>
      <w:ind w:left="0" w:right="0" w:hanging="0"/>
      <w:jc w:val="center"/>
    </w:pPr>
    <w:rPr>
      <w:rFonts w:ascii="XO Thames" w:hAnsi="XO Thames" w:eastAsia="NSimSun" w:cs="Mangal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Style18">
    <w:name w:val="Содержимое таблицы"/>
    <w:basedOn w:val="Normal"/>
    <w:qFormat/>
    <w:pPr>
      <w:widowControl w:val="false"/>
      <w:suppressLineNumbers/>
    </w:pPr>
    <w:rPr/>
  </w:style>
  <w:style w:type="paragraph" w:styleId="Style19">
    <w:name w:val="Заголовок таблицы"/>
    <w:basedOn w:val="Style18"/>
    <w:qFormat/>
    <w:pPr>
      <w:suppressLineNumbers/>
      <w:jc w:val="center"/>
    </w:pPr>
    <w:rPr>
      <w:b/>
      <w:bCs/>
    </w:rPr>
  </w:style>
  <w:style w:type="paragraph" w:styleId="Style20">
    <w:name w:val="Текст"/>
    <w:basedOn w:val="Style13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Application>LibreOffice/7.2.6.2$Windows_X86_64 LibreOffice_project/b0ec3a565991f7569a5a7f5d24fed7f52653d754</Application>
  <AppVersion>15.0000</AppVersion>
  <Pages>8</Pages>
  <Words>1628</Words>
  <Characters>9725</Characters>
  <CharactersWithSpaces>12902</CharactersWithSpaces>
  <Paragraphs>289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2026-10-15T15:02:08Z</dcterms:modified>
  <cp:revision>37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